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p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MEDIA RELEASE</w:t>
      </w:r>
    </w:p>
    <w:p>
      <w:pPr>
        <w:rPr>
          <w:rFonts w:ascii="Century Gothic" w:hAnsi="Century Gothic"/>
        </w:rPr>
      </w:pPr>
      <w:r>
        <w:rPr>
          <w:rFonts w:ascii="Century Gothic" w:hAnsi="Century Gothic"/>
          <w:i/>
        </w:rPr>
        <w:t>For immediate release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September 2016</w:t>
      </w:r>
    </w:p>
    <w:p>
      <w:pPr>
        <w:spacing w:after="120" w:line="360" w:lineRule="auto"/>
        <w:jc w:val="center"/>
        <w:rPr>
          <w:rFonts w:ascii="AvantGarde" w:hAnsi="AvantGarde"/>
          <w:b/>
          <w:bCs/>
          <w:color w:val="012169"/>
        </w:rPr>
      </w:pPr>
      <w:r>
        <w:rPr>
          <w:rFonts w:ascii="AvantGarde" w:hAnsi="AvantGarde"/>
          <w:b/>
          <w:bCs/>
          <w:color w:val="012169"/>
        </w:rPr>
        <w:br/>
      </w:r>
      <w:r>
        <w:rPr>
          <w:rFonts w:ascii="AvantGarde" w:hAnsi="AvantGarde"/>
          <w:b/>
          <w:bCs/>
          <w:color w:val="012169"/>
        </w:rPr>
        <w:t xml:space="preserve">Millions of reasons to invest in childcare </w:t>
      </w:r>
      <w:proofErr w:type="spellStart"/>
      <w:r>
        <w:rPr>
          <w:rFonts w:ascii="AvantGarde" w:hAnsi="AvantGarde"/>
          <w:b/>
          <w:bCs/>
          <w:color w:val="012169"/>
        </w:rPr>
        <w:t>centres</w:t>
      </w:r>
      <w:proofErr w:type="spellEnd"/>
    </w:p>
    <w:p>
      <w:pPr>
        <w:spacing w:after="120" w:line="360" w:lineRule="auto"/>
        <w:rPr>
          <w:rFonts w:ascii="Century Gothic" w:hAnsi="Century Gothic"/>
          <w:color w:val="FF0000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The growing demand for childcare </w:t>
      </w:r>
      <w:proofErr w:type="spellStart"/>
      <w:r>
        <w:rPr>
          <w:rFonts w:ascii="Century Gothic" w:hAnsi="Century Gothic"/>
          <w:sz w:val="20"/>
          <w:szCs w:val="20"/>
        </w:rPr>
        <w:t>centres</w:t>
      </w:r>
      <w:proofErr w:type="spellEnd"/>
      <w:r>
        <w:rPr>
          <w:rFonts w:ascii="Century Gothic" w:hAnsi="Century Gothic"/>
          <w:sz w:val="20"/>
          <w:szCs w:val="20"/>
        </w:rPr>
        <w:t xml:space="preserve"> is no longer just from parents jostling to get their kids on waiting lists, but increasingly from investors looking to get a slice of this burgeoning real estate market and take advantage of the huge tax deductions available.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BMT Tax Depreciation’s Chief Executive Officer Bradley Beer, said there are a number of reasons why childcare </w:t>
      </w:r>
      <w:proofErr w:type="spellStart"/>
      <w:r>
        <w:rPr>
          <w:rFonts w:ascii="Century Gothic" w:hAnsi="Century Gothic"/>
          <w:sz w:val="20"/>
          <w:szCs w:val="20"/>
        </w:rPr>
        <w:t>centres</w:t>
      </w:r>
      <w:proofErr w:type="spellEnd"/>
      <w:r>
        <w:rPr>
          <w:rFonts w:ascii="Century Gothic" w:hAnsi="Century Gothic"/>
          <w:sz w:val="20"/>
          <w:szCs w:val="20"/>
        </w:rPr>
        <w:t xml:space="preserve"> are becoming more attractive to investors.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“In addition to the growing demand for this service, long term leases of ten or more years and yields of around 6 per cent, investors are becoming aware of the depreciation they can claim from such properties – often in the hundreds of thousands of dollars over the life of the property, and even into the millions for larger </w:t>
      </w:r>
      <w:proofErr w:type="spellStart"/>
      <w:r>
        <w:rPr>
          <w:rFonts w:ascii="Century Gothic" w:hAnsi="Century Gothic"/>
          <w:sz w:val="20"/>
          <w:szCs w:val="20"/>
        </w:rPr>
        <w:t>centres</w:t>
      </w:r>
      <w:proofErr w:type="spellEnd"/>
      <w:r>
        <w:rPr>
          <w:rFonts w:ascii="Century Gothic" w:hAnsi="Century Gothic"/>
          <w:sz w:val="20"/>
          <w:szCs w:val="20"/>
        </w:rPr>
        <w:t xml:space="preserve">.”  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Mr</w:t>
      </w:r>
      <w:proofErr w:type="spellEnd"/>
      <w:r>
        <w:rPr>
          <w:rFonts w:ascii="Century Gothic" w:hAnsi="Century Gothic"/>
          <w:sz w:val="20"/>
          <w:szCs w:val="20"/>
        </w:rPr>
        <w:t xml:space="preserve"> Beer said in the last two years BMT has seen a notable increase in the number of childcare </w:t>
      </w:r>
      <w:proofErr w:type="spellStart"/>
      <w:r>
        <w:rPr>
          <w:rFonts w:ascii="Century Gothic" w:hAnsi="Century Gothic"/>
          <w:sz w:val="20"/>
          <w:szCs w:val="20"/>
        </w:rPr>
        <w:t>centres</w:t>
      </w:r>
      <w:proofErr w:type="spellEnd"/>
      <w:r>
        <w:rPr>
          <w:rFonts w:ascii="Century Gothic" w:hAnsi="Century Gothic"/>
          <w:sz w:val="20"/>
          <w:szCs w:val="20"/>
        </w:rPr>
        <w:t xml:space="preserve"> they have provided a tax depreciation schedule for.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“In the last financial year we saw a 67 per cent increase in depreciation schedules for childcare </w:t>
      </w:r>
      <w:proofErr w:type="spellStart"/>
      <w:r>
        <w:rPr>
          <w:rFonts w:ascii="Century Gothic" w:hAnsi="Century Gothic"/>
          <w:sz w:val="20"/>
          <w:szCs w:val="20"/>
        </w:rPr>
        <w:t>centres</w:t>
      </w:r>
      <w:proofErr w:type="spellEnd"/>
      <w:r>
        <w:rPr>
          <w:rFonts w:ascii="Century Gothic" w:hAnsi="Century Gothic"/>
          <w:sz w:val="20"/>
          <w:szCs w:val="20"/>
        </w:rPr>
        <w:t xml:space="preserve"> and a further 37 per cent increase in the year prior. This is in line with the growing demand for this type of property as an investment,” said </w:t>
      </w:r>
      <w:proofErr w:type="spellStart"/>
      <w:r>
        <w:rPr>
          <w:rFonts w:ascii="Century Gothic" w:hAnsi="Century Gothic"/>
          <w:sz w:val="20"/>
          <w:szCs w:val="20"/>
        </w:rPr>
        <w:t>Mr</w:t>
      </w:r>
      <w:proofErr w:type="spellEnd"/>
      <w:r>
        <w:rPr>
          <w:rFonts w:ascii="Century Gothic" w:hAnsi="Century Gothic"/>
          <w:sz w:val="20"/>
          <w:szCs w:val="20"/>
        </w:rPr>
        <w:t xml:space="preserve"> Beer.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This increase is supported by findings from Collier International’s recent whitepaper on childcare in Australia, which noted a 4.6 per cent annual growth rate for this industry. 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According to </w:t>
      </w:r>
      <w:proofErr w:type="spellStart"/>
      <w:r>
        <w:rPr>
          <w:rFonts w:ascii="Century Gothic" w:hAnsi="Century Gothic"/>
          <w:sz w:val="20"/>
          <w:szCs w:val="20"/>
        </w:rPr>
        <w:t>Mr</w:t>
      </w:r>
      <w:proofErr w:type="spellEnd"/>
      <w:r>
        <w:rPr>
          <w:rFonts w:ascii="Century Gothic" w:hAnsi="Century Gothic"/>
          <w:sz w:val="20"/>
          <w:szCs w:val="20"/>
        </w:rPr>
        <w:t xml:space="preserve"> Beer, childcare </w:t>
      </w:r>
      <w:proofErr w:type="spellStart"/>
      <w:r>
        <w:rPr>
          <w:rFonts w:ascii="Century Gothic" w:hAnsi="Century Gothic"/>
          <w:sz w:val="20"/>
          <w:szCs w:val="20"/>
        </w:rPr>
        <w:t>centre</w:t>
      </w:r>
      <w:proofErr w:type="spellEnd"/>
      <w:r>
        <w:rPr>
          <w:rFonts w:ascii="Century Gothic" w:hAnsi="Century Gothic"/>
          <w:sz w:val="20"/>
          <w:szCs w:val="20"/>
        </w:rPr>
        <w:t xml:space="preserve"> operators are </w:t>
      </w:r>
      <w:proofErr w:type="spellStart"/>
      <w:r>
        <w:rPr>
          <w:rFonts w:ascii="Century Gothic" w:hAnsi="Century Gothic"/>
          <w:sz w:val="20"/>
          <w:szCs w:val="20"/>
        </w:rPr>
        <w:t>realising</w:t>
      </w:r>
      <w:proofErr w:type="spellEnd"/>
      <w:r>
        <w:rPr>
          <w:rFonts w:ascii="Century Gothic" w:hAnsi="Century Gothic"/>
          <w:sz w:val="20"/>
          <w:szCs w:val="20"/>
        </w:rPr>
        <w:t xml:space="preserve"> the value of claiming depreciation to improve cash flow and remain competitive in what is becoming a sought-after market.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“Many of the childcare </w:t>
      </w:r>
      <w:proofErr w:type="spellStart"/>
      <w:r>
        <w:rPr>
          <w:rFonts w:ascii="Century Gothic" w:hAnsi="Century Gothic"/>
          <w:sz w:val="20"/>
          <w:szCs w:val="20"/>
        </w:rPr>
        <w:t>centres</w:t>
      </w:r>
      <w:proofErr w:type="spellEnd"/>
      <w:r>
        <w:rPr>
          <w:rFonts w:ascii="Century Gothic" w:hAnsi="Century Gothic"/>
          <w:sz w:val="20"/>
          <w:szCs w:val="20"/>
        </w:rPr>
        <w:t xml:space="preserve"> we’ve prepared schedules for have been able to claim hundreds of thousands to millions of dollars in deductions over the life of the property. A large </w:t>
      </w:r>
      <w:proofErr w:type="spellStart"/>
      <w:r>
        <w:rPr>
          <w:rFonts w:ascii="Century Gothic" w:hAnsi="Century Gothic"/>
          <w:sz w:val="20"/>
          <w:szCs w:val="20"/>
        </w:rPr>
        <w:t>centre</w:t>
      </w:r>
      <w:proofErr w:type="spellEnd"/>
      <w:r>
        <w:rPr>
          <w:rFonts w:ascii="Century Gothic" w:hAnsi="Century Gothic"/>
          <w:sz w:val="20"/>
          <w:szCs w:val="20"/>
        </w:rPr>
        <w:t xml:space="preserve"> recently was able to claim close to $2 million in total deductions and $127,000 in first year deductions alone.”  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Common items located in childcare </w:t>
      </w:r>
      <w:proofErr w:type="spellStart"/>
      <w:r>
        <w:rPr>
          <w:rFonts w:ascii="Century Gothic" w:hAnsi="Century Gothic"/>
          <w:sz w:val="20"/>
          <w:szCs w:val="20"/>
        </w:rPr>
        <w:t>centres</w:t>
      </w:r>
      <w:proofErr w:type="spellEnd"/>
      <w:r>
        <w:rPr>
          <w:rFonts w:ascii="Century Gothic" w:hAnsi="Century Gothic"/>
          <w:sz w:val="20"/>
          <w:szCs w:val="20"/>
        </w:rPr>
        <w:t xml:space="preserve">, such as artificial grass, sandpits and play equipment, are unexpected yet valuable sources of additional income. 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“Recently, one of our clients was surprised to learn they could claim $8,950 in first year deductions for artificial grass and $15,000 in first year deductions for play equipment,” said </w:t>
      </w:r>
      <w:proofErr w:type="spellStart"/>
      <w:r>
        <w:rPr>
          <w:rFonts w:ascii="Century Gothic" w:hAnsi="Century Gothic"/>
          <w:sz w:val="20"/>
          <w:szCs w:val="20"/>
        </w:rPr>
        <w:t>Mr</w:t>
      </w:r>
      <w:proofErr w:type="spellEnd"/>
      <w:r>
        <w:rPr>
          <w:rFonts w:ascii="Century Gothic" w:hAnsi="Century Gothic"/>
          <w:sz w:val="20"/>
          <w:szCs w:val="20"/>
        </w:rPr>
        <w:t xml:space="preserve"> Beer.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Other childcare </w:t>
      </w:r>
      <w:proofErr w:type="spellStart"/>
      <w:r>
        <w:rPr>
          <w:rFonts w:ascii="Century Gothic" w:hAnsi="Century Gothic"/>
          <w:sz w:val="20"/>
          <w:szCs w:val="20"/>
        </w:rPr>
        <w:t>centre</w:t>
      </w:r>
      <w:proofErr w:type="spellEnd"/>
      <w:r>
        <w:rPr>
          <w:rFonts w:ascii="Century Gothic" w:hAnsi="Century Gothic"/>
          <w:sz w:val="20"/>
          <w:szCs w:val="20"/>
        </w:rPr>
        <w:t xml:space="preserve"> items that can be claimed include food processors, bathroom accessories, </w:t>
      </w:r>
      <w:proofErr w:type="gramStart"/>
      <w:r>
        <w:rPr>
          <w:rFonts w:ascii="Century Gothic" w:hAnsi="Century Gothic"/>
          <w:sz w:val="20"/>
          <w:szCs w:val="20"/>
        </w:rPr>
        <w:t>refrigerators</w:t>
      </w:r>
      <w:proofErr w:type="gramEnd"/>
      <w:r>
        <w:rPr>
          <w:rFonts w:ascii="Century Gothic" w:hAnsi="Century Gothic"/>
          <w:sz w:val="20"/>
          <w:szCs w:val="20"/>
        </w:rPr>
        <w:t xml:space="preserve">, ceiling fans, computer equipment, washing machines, partitioning, dishwashers and vinyl. 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 xml:space="preserve">Unlike a residential investment property, both owners and tenants of childcare </w:t>
      </w:r>
      <w:proofErr w:type="spellStart"/>
      <w:r>
        <w:rPr>
          <w:rFonts w:ascii="Century Gothic" w:hAnsi="Century Gothic"/>
          <w:sz w:val="20"/>
          <w:szCs w:val="20"/>
        </w:rPr>
        <w:t>centres</w:t>
      </w:r>
      <w:proofErr w:type="spellEnd"/>
      <w:r>
        <w:rPr>
          <w:rFonts w:ascii="Century Gothic" w:hAnsi="Century Gothic"/>
          <w:sz w:val="20"/>
          <w:szCs w:val="20"/>
        </w:rPr>
        <w:t xml:space="preserve"> can claim depreciation deductions, as well as those running child care services from their homes. Owners can </w:t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  <w:t xml:space="preserve">claim capital work deductions while tenants can claim depreciation for plant and equipment assets, such as those listed above. 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proofErr w:type="spellStart"/>
      <w:r>
        <w:rPr>
          <w:rFonts w:ascii="Century Gothic" w:hAnsi="Century Gothic"/>
          <w:sz w:val="20"/>
          <w:szCs w:val="20"/>
        </w:rPr>
        <w:t>Mr</w:t>
      </w:r>
      <w:proofErr w:type="spellEnd"/>
      <w:r>
        <w:rPr>
          <w:rFonts w:ascii="Century Gothic" w:hAnsi="Century Gothic"/>
          <w:sz w:val="20"/>
          <w:szCs w:val="20"/>
        </w:rPr>
        <w:t xml:space="preserve"> Beer recommends that independent operators or those running childcare services from home could also take advantage of these deductions. 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“For operators who might be struggling with cash flow, depreciation deductions can provide additional income to help with day to day expenses and business operations,” said </w:t>
      </w:r>
      <w:proofErr w:type="spellStart"/>
      <w:r>
        <w:rPr>
          <w:rFonts w:ascii="Century Gothic" w:hAnsi="Century Gothic"/>
          <w:sz w:val="20"/>
          <w:szCs w:val="20"/>
        </w:rPr>
        <w:t>Mr</w:t>
      </w:r>
      <w:proofErr w:type="spellEnd"/>
      <w:r>
        <w:rPr>
          <w:rFonts w:ascii="Century Gothic" w:hAnsi="Century Gothic"/>
          <w:sz w:val="20"/>
          <w:szCs w:val="20"/>
        </w:rPr>
        <w:t xml:space="preserve"> Beer.</w:t>
      </w:r>
    </w:p>
    <w:p>
      <w:pPr>
        <w:spacing w:after="120"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BMT Tax Depreciation is Australia’s leading provider of tax depreciation schedules. </w:t>
      </w:r>
    </w:p>
    <w:p>
      <w:pPr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</w:p>
    <w:p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- ENDS-</w:t>
      </w:r>
      <w:r>
        <w:rPr>
          <w:rFonts w:ascii="Century Gothic" w:hAnsi="Century Gothic"/>
          <w:b/>
          <w:sz w:val="20"/>
          <w:szCs w:val="20"/>
        </w:rPr>
        <w:br/>
      </w:r>
    </w:p>
    <w:p>
      <w:pPr>
        <w:rPr>
          <w:rFonts w:ascii="Century Gothic" w:hAnsi="Century Gothic"/>
          <w:b/>
          <w:sz w:val="20"/>
          <w:szCs w:val="20"/>
        </w:rPr>
      </w:pPr>
    </w:p>
    <w:p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</w:rPr>
        <w:t>For all media enquires please contact</w:t>
      </w:r>
      <w:proofErr w:type="gramStart"/>
      <w:r>
        <w:rPr>
          <w:rFonts w:ascii="Century Gothic" w:hAnsi="Century Gothic"/>
          <w:b/>
        </w:rPr>
        <w:t>:</w:t>
      </w:r>
      <w:proofErr w:type="gramEnd"/>
      <w:r>
        <w:rPr>
          <w:rFonts w:ascii="Century Gothic" w:hAnsi="Century Gothic"/>
          <w:b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  <w:t xml:space="preserve">Bradley Beer </w:t>
      </w:r>
      <w:r>
        <w:rPr>
          <w:rFonts w:ascii="Century Gothic" w:hAnsi="Century Gothic"/>
          <w:sz w:val="20"/>
          <w:szCs w:val="20"/>
        </w:rPr>
        <w:br/>
        <w:t xml:space="preserve">CEO, BMT Tax Depreciation </w:t>
      </w:r>
      <w:r>
        <w:rPr>
          <w:rFonts w:ascii="Century Gothic" w:hAnsi="Century Gothic"/>
          <w:sz w:val="20"/>
          <w:szCs w:val="20"/>
        </w:rPr>
        <w:br/>
      </w:r>
      <w:r>
        <w:rPr>
          <w:rFonts w:ascii="Century Gothic" w:hAnsi="Century Gothic"/>
          <w:sz w:val="20"/>
          <w:szCs w:val="20"/>
        </w:rPr>
        <w:br/>
        <w:t>Phone:</w:t>
      </w:r>
      <w:r>
        <w:rPr>
          <w:rFonts w:ascii="Century Gothic" w:hAnsi="Century Gothic"/>
          <w:sz w:val="20"/>
          <w:szCs w:val="20"/>
        </w:rPr>
        <w:tab/>
        <w:t xml:space="preserve">0413 271 777 </w:t>
      </w:r>
      <w:r>
        <w:rPr>
          <w:rFonts w:ascii="Century Gothic" w:hAnsi="Century Gothic"/>
          <w:sz w:val="20"/>
          <w:szCs w:val="20"/>
        </w:rPr>
        <w:br/>
        <w:t>Email:</w:t>
      </w:r>
      <w:r>
        <w:rPr>
          <w:rFonts w:ascii="Century Gothic" w:hAnsi="Century Gothic"/>
          <w:sz w:val="20"/>
          <w:szCs w:val="20"/>
        </w:rPr>
        <w:tab/>
      </w:r>
      <w:hyperlink r:id="rId7" w:history="1">
        <w:r>
          <w:rPr>
            <w:rStyle w:val="Hyperlink"/>
            <w:rFonts w:ascii="Century Gothic" w:hAnsi="Century Gothic"/>
            <w:sz w:val="20"/>
            <w:szCs w:val="20"/>
          </w:rPr>
          <w:t>media@bmtqs.com.au</w:t>
        </w:r>
      </w:hyperlink>
    </w:p>
    <w:p>
      <w:pPr>
        <w:rPr>
          <w:rFonts w:ascii="Century Gothic" w:hAnsi="Century Gothic"/>
          <w:sz w:val="20"/>
          <w:szCs w:val="20"/>
        </w:rPr>
      </w:pPr>
    </w:p>
    <w:p>
      <w:pPr>
        <w:spacing w:line="360" w:lineRule="auto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About BMT Tax Depreciation</w:t>
      </w:r>
    </w:p>
    <w:p>
      <w:pPr>
        <w:spacing w:line="360" w:lineRule="auto"/>
      </w:pPr>
      <w:r>
        <w:rPr>
          <w:rFonts w:ascii="Century Gothic" w:hAnsi="Century Gothic"/>
          <w:sz w:val="20"/>
          <w:szCs w:val="20"/>
        </w:rPr>
        <w:t xml:space="preserve">BMT Tax Depreciation (BMT) is a Quantity Surveying company </w:t>
      </w:r>
      <w:proofErr w:type="spellStart"/>
      <w:r>
        <w:rPr>
          <w:rFonts w:ascii="Century Gothic" w:hAnsi="Century Gothic"/>
          <w:sz w:val="20"/>
          <w:szCs w:val="20"/>
        </w:rPr>
        <w:t>specialising</w:t>
      </w:r>
      <w:proofErr w:type="spellEnd"/>
      <w:r>
        <w:rPr>
          <w:rFonts w:ascii="Century Gothic" w:hAnsi="Century Gothic"/>
          <w:sz w:val="20"/>
          <w:szCs w:val="20"/>
        </w:rPr>
        <w:t xml:space="preserve"> in the provision of tax depreciation schedules for residential and commercial investment properties. Commencing business in 1997, demand from property investors nationally has seen business expand Australia-wide with offices now located in Sydney, Parramatta, Melbourne, Brisbane, Newcastle, Adelaide, Perth, Gold Coast, Cairns, Canberra, Hobart and Darwin.</w:t>
      </w: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p>
      <w:pPr>
        <w:tabs>
          <w:tab w:val="left" w:pos="2720"/>
        </w:tabs>
      </w:pPr>
    </w:p>
    <w:sectPr>
      <w:headerReference w:type="default" r:id="rId8"/>
      <w:footerReference w:type="default" r:id="rId9"/>
      <w:headerReference w:type="first" r:id="rId10"/>
      <w:pgSz w:w="11900" w:h="16840"/>
      <w:pgMar w:top="1531" w:right="992" w:bottom="1276" w:left="104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vantGarde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page">
            <wp:align>right</wp:align>
          </wp:positionH>
          <wp:positionV relativeFrom="paragraph">
            <wp:posOffset>-1952625</wp:posOffset>
          </wp:positionV>
          <wp:extent cx="7550785" cy="2760980"/>
          <wp:effectExtent l="0" t="0" r="0" b="1270"/>
          <wp:wrapNone/>
          <wp:docPr id="3" name="Picture 3" descr="Marketing:Graphic Design:BMT Stationery:2015_LH355 BMT Letterheads:2015_LH355_BMTLetterhead_ALL_PKG:All Addresses:2015_LH355_BMTLetterhead_ALL addresses_v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keting:Graphic Design:BMT Stationery:2015_LH355 BMT Letterheads:2015_LH355_BMTLetterhead_ALL_PKG:All Addresses:2015_LH355_BMTLetterhead_ALL addresses_v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2760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-429260</wp:posOffset>
          </wp:positionV>
          <wp:extent cx="7560310" cy="1219835"/>
          <wp:effectExtent l="0" t="0" r="2540" b="0"/>
          <wp:wrapNone/>
          <wp:docPr id="1" name="Picture 1" descr="LH_Logo header_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_Logo header_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-448310</wp:posOffset>
          </wp:positionV>
          <wp:extent cx="7560310" cy="1219835"/>
          <wp:effectExtent l="0" t="0" r="2540" b="0"/>
          <wp:wrapNone/>
          <wp:docPr id="2" name="Picture 2" descr="LH_Logo header_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H_Logo header_1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19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."/>
  <w:listSeparator w:val=","/>
  <w14:defaultImageDpi w14:val="300"/>
  <w15:docId w15:val="{23B221E7-040D-4F80-8BB1-06BAF46F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strike w:val="0"/>
      <w:dstrike w:val="0"/>
      <w:color w:val="00548C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dia@bmtqs.com.a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34FB4-0614-482E-ADC1-0E60D894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BMT Tax Depreciation</Company>
  <LinksUpToDate>false</LinksUpToDate>
  <CharactersWithSpaces>6364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Brown</dc:creator>
  <cp:keywords/>
  <dc:description/>
  <cp:lastModifiedBy>Rani Bonwick</cp:lastModifiedBy>
  <cp:revision>13</cp:revision>
  <dcterms:created xsi:type="dcterms:W3CDTF">2016-07-27T01:01:00Z</dcterms:created>
  <dcterms:modified xsi:type="dcterms:W3CDTF">2017-03-23T23:43:00Z</dcterms:modified>
</cp:coreProperties>
</file>